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CFD307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Battery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Monitor V</w:t>
      </w:r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>.</w:t>
      </w:r>
      <w:r>
        <w:rPr>
          <w:rFonts w:hint="eastAsia"/>
          <w:lang w:val="en-US" w:eastAsia="zh-CN"/>
        </w:rPr>
        <w:t>0</w:t>
      </w:r>
      <w:r>
        <w:rPr>
          <w:rFonts w:hint="default"/>
          <w:lang w:val="en-US" w:eastAsia="zh-CN"/>
        </w:rPr>
        <w:t>.1</w:t>
      </w:r>
    </w:p>
    <w:p w14:paraId="23267481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上位机操作说明</w:t>
      </w:r>
    </w:p>
    <w:p w14:paraId="3305E6C3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解压上位机文件</w:t>
      </w:r>
    </w:p>
    <w:p w14:paraId="3E8A453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286125" cy="428625"/>
            <wp:effectExtent l="0" t="0" r="57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DDAE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打开上位机软件</w:t>
      </w:r>
    </w:p>
    <w:p w14:paraId="5F100E54"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双击打开解压后的文件</w:t>
      </w:r>
    </w:p>
    <w:p w14:paraId="792FB5F3"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双击打开上位机文件中可执行文件，如图2-1</w:t>
      </w:r>
    </w:p>
    <w:p w14:paraId="482FC61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7960" cy="3787140"/>
            <wp:effectExtent l="0" t="0" r="508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588D3AB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rPr>
          <w:rFonts w:hint="eastAsia"/>
          <w:lang w:val="en-US" w:eastAsia="zh-CN"/>
        </w:rPr>
        <w:t>图2-1</w:t>
      </w:r>
    </w:p>
    <w:p w14:paraId="4D1A9DF9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加载上位机协议</w:t>
      </w:r>
    </w:p>
    <w:p w14:paraId="2657EFBE"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初始打开上位机，需要加载上位机协议，点击“Import Protocol”，弹出窗口中选择上位机文件中的“Agreement”打开，如图3-1</w:t>
      </w:r>
    </w:p>
    <w:p w14:paraId="6DFB26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66690" cy="2822575"/>
            <wp:effectExtent l="0" t="0" r="635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4D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图3-1</w:t>
      </w:r>
    </w:p>
    <w:p w14:paraId="36D1989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Agreement文件下初始放置各种语言和串数的上位机协议，可根据需求选择不同语言协议或者不同串数的语言协议，如图3-2</w:t>
      </w:r>
    </w:p>
    <w:p w14:paraId="258B83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2822575"/>
            <wp:effectExtent l="0" t="0" r="635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49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图3-2</w:t>
      </w:r>
    </w:p>
    <w:p w14:paraId="4D1A6EB6"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选择对应的语言和串数的协议文件，点击打开，如图3-3</w:t>
      </w:r>
    </w:p>
    <w:p w14:paraId="208834E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2822575"/>
            <wp:effectExtent l="0" t="0" r="635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C37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图3-3</w:t>
      </w:r>
    </w:p>
    <w:p w14:paraId="72ED13B8"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点击“确定”，加载协议完成，如图3-4</w:t>
      </w:r>
    </w:p>
    <w:p w14:paraId="1181638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2822575"/>
            <wp:effectExtent l="0" t="0" r="6350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9C1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图3-4</w:t>
      </w:r>
    </w:p>
    <w:p w14:paraId="310F6584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通信端口配置</w:t>
      </w:r>
    </w:p>
    <w:p w14:paraId="088168D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</w:rPr>
      </w:pPr>
      <w:r>
        <w:rPr>
          <w:rFonts w:hint="eastAsia"/>
        </w:rPr>
        <w:t>选择串口（上位机会自动识别USB转485串口，串口号自动识别）</w:t>
      </w:r>
    </w:p>
    <w:p w14:paraId="63303D9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波特率：19200</w:t>
      </w:r>
    </w:p>
    <w:p w14:paraId="6750DE22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点击连接，如图4-1</w:t>
      </w:r>
    </w:p>
    <w:p w14:paraId="724A2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66690" cy="2822575"/>
            <wp:effectExtent l="0" t="0" r="6350" b="1206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BA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hint="eastAsia"/>
          <w:lang w:val="en-US" w:eastAsia="zh-CN"/>
        </w:rPr>
        <w:t>图4-1</w:t>
      </w:r>
    </w:p>
    <w:p w14:paraId="233FFCB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连接成功后，上位机会显示电池数据，如图4-2</w:t>
      </w:r>
    </w:p>
    <w:p w14:paraId="29822F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2822575"/>
            <wp:effectExtent l="0" t="0" r="6350" b="1206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1F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图4-2</w:t>
      </w:r>
    </w:p>
    <w:p w14:paraId="7F49CF84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387560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账号：admin</w:t>
      </w:r>
    </w:p>
    <w:p w14:paraId="678E9B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密码：admin</w:t>
      </w:r>
    </w:p>
    <w:p w14:paraId="5203E6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登录成功后，可以更改参数及切换CAN协议等，如图5-1</w:t>
      </w:r>
    </w:p>
    <w:p w14:paraId="79AE0C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2822575"/>
            <wp:effectExtent l="0" t="0" r="6350" b="1206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23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图5-1</w:t>
      </w:r>
    </w:p>
    <w:p w14:paraId="21E12AF6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加载参数和上传参数</w:t>
      </w:r>
    </w:p>
    <w:p w14:paraId="25B54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加载参数：从上位机下载参数到BMS上</w:t>
      </w:r>
    </w:p>
    <w:p w14:paraId="66A08E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上传参数：从BMS上传参数到上位机</w:t>
      </w:r>
    </w:p>
    <w:p w14:paraId="33CE6FB8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6.1、加载参数</w:t>
      </w:r>
    </w:p>
    <w:p w14:paraId="3256B4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1）第一次加载参数时，需要先“上传参数”，点击“设置全部”，然后再“关闭”，如图6-1</w:t>
      </w:r>
    </w:p>
    <w:p w14:paraId="1A8125DE">
      <w:pPr>
        <w:jc w:val="center"/>
      </w:pPr>
      <w:r>
        <w:drawing>
          <wp:inline distT="0" distB="0" distL="114300" distR="114300">
            <wp:extent cx="5266690" cy="2822575"/>
            <wp:effectExtent l="0" t="0" r="6350" b="1206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DCF1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p w14:paraId="2CE299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2）点击“加载参数”，选择要加载的参数文档，如图6-2</w:t>
      </w:r>
    </w:p>
    <w:p w14:paraId="33023C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2822575"/>
            <wp:effectExtent l="0" t="0" r="6350" b="1206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E1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rPr>
          <w:rFonts w:hint="eastAsia"/>
          <w:lang w:val="en-US" w:eastAsia="zh-CN"/>
        </w:rPr>
        <w:t>图6-2</w:t>
      </w:r>
    </w:p>
    <w:p w14:paraId="4CBFFB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3）点击“设置全部”，弹出来提示框，再点击“关闭”，完成配置，如图6-3</w:t>
      </w:r>
    </w:p>
    <w:p w14:paraId="6D5802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2822575"/>
            <wp:effectExtent l="0" t="0" r="6350" b="1206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8EE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图6-3</w:t>
      </w:r>
    </w:p>
    <w:p w14:paraId="26EE25B2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6.2、修改参数</w:t>
      </w:r>
    </w:p>
    <w:p w14:paraId="7E9EB6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1）点击“上传参数”，从BMS上传参数</w:t>
      </w:r>
    </w:p>
    <w:p w14:paraId="6BD50B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2）根据需要更改BMS参数及功能开关</w:t>
      </w:r>
    </w:p>
    <w:p w14:paraId="48BF7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3）点击“设置全部”完成修改，如图6-4</w:t>
      </w:r>
    </w:p>
    <w:p w14:paraId="67A5B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i/>
          <w:iCs/>
          <w:color w:val="FF0000"/>
          <w:lang w:val="en-US" w:eastAsia="zh-CN"/>
        </w:rPr>
      </w:pPr>
      <w:r>
        <w:rPr>
          <w:rFonts w:hint="eastAsia"/>
          <w:i/>
          <w:iCs/>
          <w:color w:val="FF0000"/>
          <w:lang w:val="en-US" w:eastAsia="zh-CN"/>
        </w:rPr>
        <w:t>注：按照图中红色字体的顺序操作</w:t>
      </w:r>
    </w:p>
    <w:p w14:paraId="367B94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i/>
          <w:iCs/>
          <w:color w:val="FF0000"/>
          <w:lang w:val="en-US" w:eastAsia="zh-CN"/>
        </w:rPr>
      </w:pPr>
      <w:r>
        <w:drawing>
          <wp:inline distT="0" distB="0" distL="114300" distR="114300">
            <wp:extent cx="5266690" cy="2822575"/>
            <wp:effectExtent l="0" t="0" r="6350" b="1206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E900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图6-4</w:t>
      </w:r>
    </w:p>
    <w:p w14:paraId="4E8F3BB6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通信协议的配置</w:t>
      </w:r>
    </w:p>
    <w:p w14:paraId="642D39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1）点击“CAN”下拉框，根据逆变器类型选择相应的CAN协议，如图7-1</w:t>
      </w:r>
    </w:p>
    <w:p w14:paraId="100D37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i/>
          <w:iCs/>
          <w:color w:val="FF0000"/>
          <w:lang w:val="en-US" w:eastAsia="zh-CN"/>
        </w:rPr>
      </w:pPr>
      <w:r>
        <w:rPr>
          <w:rFonts w:hint="eastAsia"/>
          <w:i/>
          <w:iCs/>
          <w:color w:val="FF0000"/>
          <w:lang w:val="en-US" w:eastAsia="zh-CN"/>
        </w:rPr>
        <w:t>注：485协议自适配，不需要手动选择</w:t>
      </w:r>
    </w:p>
    <w:p w14:paraId="16A967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CAN协议有7个选项：</w:t>
      </w:r>
    </w:p>
    <w:p w14:paraId="0F95AA12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6690" cy="2822575"/>
            <wp:effectExtent l="0" t="0" r="6350" b="1206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B26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图7-1</w:t>
      </w:r>
    </w:p>
    <w:p w14:paraId="33AD7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2）选中需要切换的协议，例如选中“TBB”,点击“关闭”完成配置，如图7-2</w:t>
      </w:r>
    </w:p>
    <w:p w14:paraId="30D7F213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6690" cy="2822575"/>
            <wp:effectExtent l="0" t="0" r="6350" b="1206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AA0D1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图7-2</w:t>
      </w:r>
    </w:p>
    <w:p w14:paraId="230E49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3）点击“刷新”，生产厂家信息会显示对应的逆变器厂家信息，如图7-3</w:t>
      </w:r>
    </w:p>
    <w:p w14:paraId="5400A711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6690" cy="2822575"/>
            <wp:effectExtent l="0" t="0" r="6350" b="1206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C3DA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图7-3</w:t>
      </w:r>
    </w:p>
    <w:p w14:paraId="6ECE9337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实时记录</w:t>
      </w:r>
    </w:p>
    <w:p w14:paraId="399A61A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1）点击“实时”，实时两字背景变灰时，表示实时记录功能打开（或者点击“实时记录”，实时记录界面中点击“启动”，同样可以开启实时记录），如图8-1；</w:t>
      </w:r>
    </w:p>
    <w:p w14:paraId="644AF81C">
      <w:r>
        <w:drawing>
          <wp:inline distT="0" distB="0" distL="114300" distR="114300">
            <wp:extent cx="5266690" cy="2822575"/>
            <wp:effectExtent l="0" t="0" r="6350" b="1206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2E34F">
      <w:p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图8-1</w:t>
      </w:r>
    </w:p>
    <w:p w14:paraId="5708542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2）点击“实时记录”，可以查看当前BMS数据，如单节电芯电压、电芯温度、总压、剩余容量......，如图8-2；</w:t>
      </w:r>
    </w:p>
    <w:p w14:paraId="5DA70484">
      <w:r>
        <w:drawing>
          <wp:inline distT="0" distB="0" distL="114300" distR="114300">
            <wp:extent cx="5266690" cy="2822575"/>
            <wp:effectExtent l="0" t="0" r="6350" b="1206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440C">
      <w:p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图8-2</w:t>
      </w:r>
    </w:p>
    <w:p w14:paraId="70CDCF4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3）点击“停止”，再点击“保存”，可以将实时记录导出保存，如图8-3。</w:t>
      </w:r>
    </w:p>
    <w:p w14:paraId="31F1E99E">
      <w:r>
        <w:drawing>
          <wp:inline distT="0" distB="0" distL="114300" distR="114300">
            <wp:extent cx="5266690" cy="2822575"/>
            <wp:effectExtent l="0" t="0" r="6350" b="1206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969FF">
      <w:p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图8-3</w:t>
      </w:r>
    </w:p>
    <w:p w14:paraId="1EA79532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固件更新</w:t>
      </w:r>
    </w:p>
    <w:p w14:paraId="706500BB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上位机断开连接，点击“固件更新”，选择相应的端口号，波特率选择19200，点击“打开”，如图9-1</w:t>
      </w:r>
    </w:p>
    <w:p w14:paraId="039DA9B5">
      <w:pPr>
        <w:numPr>
          <w:ilvl w:val="0"/>
          <w:numId w:val="0"/>
        </w:numPr>
        <w:jc w:val="center"/>
        <w:rPr>
          <w:b/>
          <w:bCs/>
        </w:rPr>
      </w:pPr>
      <w:r>
        <w:drawing>
          <wp:inline distT="0" distB="0" distL="114300" distR="114300">
            <wp:extent cx="5266690" cy="2822575"/>
            <wp:effectExtent l="0" t="0" r="6350" b="1206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D991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图9-1</w:t>
      </w:r>
    </w:p>
    <w:p w14:paraId="46942BA0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D7D4E0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drawing>
          <wp:inline distT="0" distB="0" distL="114300" distR="114300">
            <wp:extent cx="289560" cy="263525"/>
            <wp:effectExtent l="0" t="0" r="0" b="10795"/>
            <wp:docPr id="9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”，跳出来的提示框中选择要升级的程序（程序尾缀为ehex），如图9-2</w:t>
      </w:r>
    </w:p>
    <w:p w14:paraId="2E1A7258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6690" cy="2822575"/>
            <wp:effectExtent l="0" t="0" r="6350" b="1206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E1917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图9-2</w:t>
      </w:r>
    </w:p>
    <w:p w14:paraId="24B1069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点击“下载”，会显示下载进度，如若报告错误时，请多试几次，如图9-3</w:t>
      </w:r>
    </w:p>
    <w:p w14:paraId="773CAEE2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6690" cy="2822575"/>
            <wp:effectExtent l="0" t="0" r="6350" b="1206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7B261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图9-3</w:t>
      </w:r>
    </w:p>
    <w:p w14:paraId="7A1375E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程序下载完成后，提示下载成功，点击“确定”，完成升级，如图9-4</w:t>
      </w:r>
    </w:p>
    <w:p w14:paraId="6C0B0F4F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784475"/>
            <wp:effectExtent l="0" t="0" r="6350" b="444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6A43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图9-4</w:t>
      </w:r>
    </w:p>
    <w:p w14:paraId="1718F3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</w:t>
      </w:r>
      <w:r>
        <w:rPr>
          <w:rFonts w:hint="eastAsia"/>
          <w:lang w:val="en-US" w:eastAsia="zh-CN"/>
        </w:rPr>
        <w:t>此升级软件也可以根据相应的地址进行升级。如果BMS的地址与包号的地址一致，则可以进行升级，如图9-5</w:t>
      </w:r>
    </w:p>
    <w:p w14:paraId="6FF8A652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770" cy="2764790"/>
            <wp:effectExtent l="0" t="0" r="1270" b="889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293E4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图9-5</w:t>
      </w:r>
    </w:p>
    <w:p w14:paraId="6FD42BCD"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并机模式</w:t>
      </w:r>
    </w:p>
    <w:p w14:paraId="6324ECF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1）点击“并机配置”，右边出现并机PACK地址，如图10-1</w:t>
      </w:r>
    </w:p>
    <w:p w14:paraId="2F7A24E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22575"/>
            <wp:effectExtent l="0" t="0" r="6350" b="1206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0737B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图10-1</w:t>
      </w:r>
    </w:p>
    <w:p w14:paraId="453C7CD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2）</w:t>
      </w:r>
      <w:r>
        <w:rPr>
          <w:rFonts w:hint="eastAsia"/>
        </w:rPr>
        <w:t>并机组选择</w:t>
      </w:r>
    </w:p>
    <w:p w14:paraId="66634E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当多</w:t>
      </w:r>
      <w:r>
        <w:rPr>
          <w:rFonts w:hint="eastAsia"/>
          <w:lang w:val="en-US" w:eastAsia="zh-CN"/>
        </w:rPr>
        <w:t>组</w:t>
      </w:r>
      <w:r>
        <w:rPr>
          <w:rFonts w:hint="eastAsia"/>
        </w:rPr>
        <w:t>电池（最多至</w:t>
      </w:r>
      <w:r>
        <w:rPr>
          <w:rFonts w:hint="eastAsia"/>
          <w:lang w:val="en-US" w:eastAsia="zh-CN"/>
        </w:rPr>
        <w:t>20组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并联</w:t>
      </w:r>
      <w:r>
        <w:rPr>
          <w:rFonts w:hint="eastAsia"/>
        </w:rPr>
        <w:t>时，确保BMS拨码地址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可选自动拨码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与上位机设置的地址</w:t>
      </w:r>
      <w:r>
        <w:rPr>
          <w:rFonts w:hint="eastAsia"/>
        </w:rPr>
        <w:t>（</w:t>
      </w:r>
      <w:r>
        <w:rPr>
          <w:rFonts w:hint="eastAsia"/>
          <w:b/>
          <w:bCs/>
        </w:rPr>
        <w:t>pack x</w:t>
      </w:r>
      <w:r>
        <w:rPr>
          <w:rFonts w:hint="eastAsia"/>
        </w:rPr>
        <w:t>）一致（点击上位机</w:t>
      </w:r>
      <w:r>
        <w:rPr>
          <w:rFonts w:hint="eastAsia"/>
          <w:b/>
          <w:bCs/>
        </w:rPr>
        <w:t>pack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x</w:t>
      </w:r>
      <w:r>
        <w:rPr>
          <w:rFonts w:hint="eastAsia"/>
        </w:rPr>
        <w:t>图标点亮）</w:t>
      </w:r>
      <w:r>
        <w:rPr>
          <w:rFonts w:hint="eastAsia"/>
          <w:lang w:eastAsia="zh-CN"/>
        </w:rPr>
        <w:t>，</w:t>
      </w:r>
      <w:r>
        <w:rPr>
          <w:rFonts w:hint="eastAsia"/>
        </w:rPr>
        <w:t>单击连接上位机，选择“循环刷新”。上位机可以看到并机的数量，并打包刷新数据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如图10-2</w:t>
      </w:r>
    </w:p>
    <w:p w14:paraId="335BD2A6">
      <w:pPr>
        <w:widowControl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22575"/>
            <wp:effectExtent l="0" t="0" r="6350" b="1206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6B28">
      <w:p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图10-2</w:t>
      </w:r>
    </w:p>
    <w:p w14:paraId="401B9B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3）</w:t>
      </w:r>
      <w:r>
        <w:rPr>
          <w:rFonts w:hint="eastAsia"/>
        </w:rPr>
        <w:t>在上位机界面上，可以单击“</w:t>
      </w:r>
      <w:r>
        <w:rPr>
          <w:rFonts w:hint="eastAsia"/>
          <w:lang w:val="en-US" w:eastAsia="zh-CN"/>
        </w:rPr>
        <w:t>并机信息</w:t>
      </w:r>
      <w:r>
        <w:rPr>
          <w:rFonts w:hint="eastAsia"/>
        </w:rPr>
        <w:t>”查看每组包数据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如图10-3</w:t>
      </w:r>
    </w:p>
    <w:p w14:paraId="29FF78DF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822575"/>
            <wp:effectExtent l="0" t="0" r="6350" b="1206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65618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图10-3</w:t>
      </w:r>
    </w:p>
    <w:p w14:paraId="64357A49"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11、显示页面介绍</w:t>
      </w:r>
    </w:p>
    <w:p w14:paraId="5E2825D8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连接成功后，</w:t>
      </w:r>
      <w:r>
        <w:rPr>
          <w:rFonts w:hint="eastAsia"/>
          <w:lang w:val="en-US" w:eastAsia="zh-CN"/>
        </w:rPr>
        <w:t>上位机</w:t>
      </w:r>
      <w:r>
        <w:rPr>
          <w:rFonts w:hint="eastAsia"/>
        </w:rPr>
        <w:t>显示界面介绍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如图11-1和表11.1</w:t>
      </w:r>
    </w:p>
    <w:p w14:paraId="505DB2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drawing>
          <wp:inline distT="0" distB="0" distL="114300" distR="114300">
            <wp:extent cx="5266690" cy="2822575"/>
            <wp:effectExtent l="0" t="0" r="6350" b="1206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50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</w:pPr>
      <w:r>
        <w:rPr>
          <w:rFonts w:hint="eastAsia"/>
          <w:lang w:val="en-US" w:eastAsia="zh-CN"/>
        </w:rPr>
        <w:t>图11-1</w:t>
      </w:r>
    </w:p>
    <w:tbl>
      <w:tblPr>
        <w:tblStyle w:val="7"/>
        <w:tblW w:w="80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9"/>
        <w:gridCol w:w="1990"/>
        <w:gridCol w:w="2360"/>
        <w:gridCol w:w="2399"/>
      </w:tblGrid>
      <w:tr w14:paraId="386C7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/>
            <w:noWrap w:val="0"/>
            <w:vAlign w:val="center"/>
          </w:tcPr>
          <w:p w14:paraId="6376D033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  <w:lang w:bidi="ar"/>
              </w:rPr>
              <w:t>名称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/>
            <w:noWrap w:val="0"/>
            <w:vAlign w:val="center"/>
          </w:tcPr>
          <w:p w14:paraId="491C59E4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  <w:lang w:bidi="ar"/>
              </w:rPr>
              <w:t>说明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/>
            <w:noWrap w:val="0"/>
            <w:vAlign w:val="center"/>
          </w:tcPr>
          <w:p w14:paraId="1F2FB76F">
            <w:pPr>
              <w:autoSpaceDE w:val="0"/>
              <w:autoSpaceDN w:val="0"/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提示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/>
            <w:noWrap w:val="0"/>
            <w:vAlign w:val="center"/>
          </w:tcPr>
          <w:p w14:paraId="7101A13F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bCs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  <w:lang w:bidi="ar"/>
              </w:rPr>
              <w:t>图示</w:t>
            </w:r>
          </w:p>
        </w:tc>
      </w:tr>
      <w:tr w14:paraId="63AD2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74580D56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最高电压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E97C1F1">
            <w:pPr>
              <w:autoSpaceDE w:val="0"/>
              <w:autoSpaceDN w:val="0"/>
              <w:jc w:val="center"/>
              <w:rPr>
                <w:rFonts w:hint="default" w:cs="Calibri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</w:rPr>
              <w:t>最高电压</w:t>
            </w:r>
            <w:r>
              <w:rPr>
                <w:rFonts w:hint="eastAsia" w:cs="Calibri"/>
                <w:sz w:val="18"/>
                <w:szCs w:val="18"/>
                <w:lang w:val="en-US" w:eastAsia="zh-CN"/>
              </w:rPr>
              <w:t>值及电芯号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2EE8DE6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A67CBE3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385570" cy="187960"/>
                  <wp:effectExtent l="0" t="0" r="1270" b="10160"/>
                  <wp:docPr id="29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017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494151EF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最低电压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69E0F98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最</w:t>
            </w:r>
            <w:r>
              <w:rPr>
                <w:rFonts w:hint="eastAsia" w:cs="Calibri"/>
                <w:sz w:val="18"/>
                <w:szCs w:val="18"/>
                <w:lang w:val="en-US" w:eastAsia="zh-CN"/>
              </w:rPr>
              <w:t>低</w:t>
            </w:r>
            <w:r>
              <w:rPr>
                <w:rFonts w:hint="eastAsia" w:cs="Calibri"/>
                <w:sz w:val="18"/>
                <w:szCs w:val="18"/>
              </w:rPr>
              <w:t>电压</w:t>
            </w:r>
            <w:r>
              <w:rPr>
                <w:rFonts w:hint="eastAsia" w:cs="Calibri"/>
                <w:sz w:val="18"/>
                <w:szCs w:val="18"/>
                <w:lang w:val="en-US" w:eastAsia="zh-CN"/>
              </w:rPr>
              <w:t>值及电芯号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A3FB9DC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5B0DB73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385570" cy="173990"/>
                  <wp:effectExtent l="0" t="0" r="1270" b="8890"/>
                  <wp:docPr id="3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32D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5335BAA5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压差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41D9A6A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最大电压与最小电压之间的电压差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10C22A5">
            <w:pPr>
              <w:autoSpaceDE w:val="0"/>
              <w:autoSpaceDN w:val="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72FC68B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385570" cy="170815"/>
                  <wp:effectExtent l="0" t="0" r="1270" b="12065"/>
                  <wp:docPr id="31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0C5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14CEEC11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电池电压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5B9C878">
            <w:pPr>
              <w:autoSpaceDE w:val="0"/>
              <w:autoSpaceDN w:val="0"/>
              <w:spacing w:line="720" w:lineRule="auto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电池总电压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1D4A63A">
            <w:pPr>
              <w:autoSpaceDE w:val="0"/>
              <w:autoSpaceDN w:val="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B72194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029970" cy="684530"/>
                  <wp:effectExtent l="0" t="0" r="6350" b="1270"/>
                  <wp:docPr id="3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69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441E9124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电流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532FA62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充电电流</w:t>
            </w:r>
          </w:p>
          <w:p w14:paraId="193D641C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或</w:t>
            </w:r>
          </w:p>
          <w:p w14:paraId="32803014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放电电流（负值）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58AC831">
            <w:pPr>
              <w:autoSpaceDE w:val="0"/>
              <w:autoSpaceDN w:val="0"/>
              <w:jc w:val="center"/>
              <w:rPr>
                <w:rFonts w:hint="default" w:ascii="宋体" w:hAnsi="宋体" w:cs="宋体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AFE采集电流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2B6EC3F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543560" cy="510540"/>
                  <wp:effectExtent l="0" t="0" r="5080" b="7620"/>
                  <wp:docPr id="4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129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3BA478AE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电池</w:t>
            </w:r>
            <w:r>
              <w:rPr>
                <w:rFonts w:hint="eastAsia" w:cs="Calibri"/>
                <w:sz w:val="18"/>
                <w:szCs w:val="18"/>
              </w:rPr>
              <w:t>剩余容量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42236C4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当前电池容量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4E412BB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上传参数</w:t>
            </w:r>
            <w:r>
              <w:rPr>
                <w:rFonts w:cs="Calibri"/>
                <w:sz w:val="18"/>
                <w:szCs w:val="18"/>
              </w:rPr>
              <w:t>-Num59</w:t>
            </w:r>
            <w:r>
              <w:rPr>
                <w:rFonts w:hint="eastAsia" w:cs="Calibri"/>
                <w:sz w:val="18"/>
                <w:szCs w:val="18"/>
              </w:rPr>
              <w:t>可设置</w:t>
            </w:r>
            <w:r>
              <w:rPr>
                <w:rFonts w:hint="eastAsia" w:cs="Calibri"/>
                <w:sz w:val="18"/>
                <w:szCs w:val="18"/>
                <w:lang w:val="en-US" w:eastAsia="zh-CN"/>
              </w:rPr>
              <w:t>剩余</w:t>
            </w:r>
            <w:r>
              <w:rPr>
                <w:rFonts w:hint="eastAsia" w:cs="Calibri"/>
                <w:sz w:val="18"/>
                <w:szCs w:val="18"/>
              </w:rPr>
              <w:t>容量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EB34354">
            <w:pPr>
              <w:autoSpaceDE w:val="0"/>
              <w:autoSpaceDN w:val="0"/>
              <w:jc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</w:tr>
      <w:tr w14:paraId="76A12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71DD1707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电池实际</w:t>
            </w:r>
            <w:r>
              <w:rPr>
                <w:rFonts w:hint="eastAsia" w:cs="Calibri"/>
                <w:sz w:val="18"/>
                <w:szCs w:val="18"/>
              </w:rPr>
              <w:t>容量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672A374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满电后的实际容量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54BE8D4">
            <w:pPr>
              <w:autoSpaceDE w:val="0"/>
              <w:autoSpaceDN w:val="0"/>
              <w:jc w:val="center"/>
              <w:rPr>
                <w:rFonts w:hint="default" w:cs="Calibri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容量学习后得出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AC63B79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386205" cy="99060"/>
                  <wp:effectExtent l="0" t="0" r="635" b="7620"/>
                  <wp:docPr id="34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E14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361E20D2">
            <w:pPr>
              <w:autoSpaceDE w:val="0"/>
              <w:autoSpaceDN w:val="0"/>
              <w:jc w:val="center"/>
              <w:rPr>
                <w:rFonts w:hint="default" w:cs="Calibri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电池额定容量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A0A7F78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</w:rPr>
              <w:t>额定容量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F48C6A5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上传参数</w:t>
            </w:r>
            <w:r>
              <w:rPr>
                <w:rFonts w:cs="Calibri"/>
                <w:sz w:val="18"/>
                <w:szCs w:val="18"/>
              </w:rPr>
              <w:t>-Num58</w:t>
            </w:r>
            <w:r>
              <w:rPr>
                <w:rFonts w:hint="eastAsia" w:cs="Calibri"/>
                <w:sz w:val="18"/>
                <w:szCs w:val="18"/>
              </w:rPr>
              <w:t>可设置容量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62BF4C9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6205" cy="111125"/>
                  <wp:effectExtent l="0" t="0" r="635" b="10795"/>
                  <wp:docPr id="3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22E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7216DD30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SOC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E1025D5">
            <w:pPr>
              <w:autoSpaceDE w:val="0"/>
              <w:autoSpaceDN w:val="0"/>
              <w:jc w:val="center"/>
              <w:rPr>
                <w:rFonts w:hint="default" w:cs="Calibri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剩余容量百分比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FFBE1E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剩余容量/总容量*100%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9C92552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383665" cy="112395"/>
                  <wp:effectExtent l="0" t="0" r="3175" b="9525"/>
                  <wp:docPr id="36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3DE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3A356919">
            <w:pPr>
              <w:autoSpaceDE w:val="0"/>
              <w:autoSpaceDN w:val="0"/>
              <w:jc w:val="center"/>
              <w:rPr>
                <w:rFonts w:hint="eastAsia" w:cs="Calibri" w:asciiTheme="minorAscii" w:hAnsiTheme="minorAscii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cs="Calibri"/>
                <w:sz w:val="18"/>
                <w:szCs w:val="18"/>
              </w:rPr>
              <w:t>SOH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AA6C45C">
            <w:pPr>
              <w:autoSpaceDE w:val="0"/>
              <w:autoSpaceDN w:val="0"/>
              <w:jc w:val="center"/>
              <w:rPr>
                <w:rFonts w:hint="eastAsia" w:cs="Calibri" w:asciiTheme="minorAscii" w:hAnsiTheme="minorAscii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Calibri"/>
                <w:sz w:val="18"/>
                <w:szCs w:val="18"/>
              </w:rPr>
              <w:t>健康状况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C716242">
            <w:pPr>
              <w:autoSpaceDE w:val="0"/>
              <w:autoSpaceDN w:val="0"/>
              <w:jc w:val="center"/>
              <w:rPr>
                <w:rFonts w:hint="eastAsia" w:cs="Calibri" w:asciiTheme="minorAscii" w:hAnsiTheme="minorAscii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FA646C5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4935" cy="92710"/>
                  <wp:effectExtent l="0" t="0" r="1905" b="13970"/>
                  <wp:docPr id="5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9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829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740BC21C">
            <w:pPr>
              <w:autoSpaceDE w:val="0"/>
              <w:autoSpaceDN w:val="0"/>
              <w:jc w:val="center"/>
              <w:rPr>
                <w:rFonts w:hint="eastAsia" w:cs="Calibri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</w:rPr>
              <w:t>电池循环</w:t>
            </w:r>
            <w:r>
              <w:rPr>
                <w:rFonts w:hint="eastAsia" w:cs="Calibri"/>
                <w:sz w:val="18"/>
                <w:szCs w:val="18"/>
                <w:lang w:val="en-US" w:eastAsia="zh-CN"/>
              </w:rPr>
              <w:t>次数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0A3B233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循环次数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30A9588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当累计放电容量达到满容量的80%时，循环数将增加1次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6FDD8EF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385570" cy="117475"/>
                  <wp:effectExtent l="0" t="0" r="1270" b="4445"/>
                  <wp:docPr id="5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BC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7C6C7C86">
            <w:pPr>
              <w:autoSpaceDE w:val="0"/>
              <w:autoSpaceDN w:val="0"/>
              <w:jc w:val="center"/>
              <w:rPr>
                <w:rFonts w:hint="default" w:cs="Calibri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输出端口电压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67BED98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母线电压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600324F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BMS板P-与P+端电压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8EA6BA3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3030" cy="116840"/>
                  <wp:effectExtent l="0" t="0" r="3810" b="5080"/>
                  <wp:docPr id="37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96E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0733380E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诊断端口电压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0C4533B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二级母线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A8564B2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P+旁的保险丝与P-之间的电压，当加热功能或者限流功能出现硬件故障，保险丝熔断，保险丝与P-之间的电压为0，从而判断问题点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83C1DF3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4300" cy="100330"/>
                  <wp:effectExtent l="0" t="0" r="2540" b="6350"/>
                  <wp:docPr id="3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0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9CE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146BD01B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总线电池电压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E38EEAA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功率总压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498692D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BMS板B-与B+端电压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C3DCEF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385570" cy="95250"/>
                  <wp:effectExtent l="0" t="0" r="1270" b="11430"/>
                  <wp:docPr id="39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B08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1E09ACBF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诊断电池电压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F62EB8A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信号总压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A4D0BC6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采样线采集的电芯电压总和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9832FB5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386205" cy="104775"/>
                  <wp:effectExtent l="0" t="0" r="635" b="1905"/>
                  <wp:docPr id="40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1B9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76B217F5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温漂补偿电流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FCA6A07">
            <w:pPr>
              <w:autoSpaceDE w:val="0"/>
              <w:autoSpaceDN w:val="0"/>
              <w:jc w:val="center"/>
              <w:rPr>
                <w:rFonts w:hint="default" w:cs="Calibri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温漂电流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261D2B2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主要针对高温或低温时，检流电阻采集的温漂电流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106EFEE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5570" cy="119380"/>
                  <wp:effectExtent l="0" t="0" r="1270" b="2540"/>
                  <wp:docPr id="57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B09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5E411524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高精度小电流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4F150F0">
            <w:pPr>
              <w:autoSpaceDE w:val="0"/>
              <w:autoSpaceDN w:val="0"/>
              <w:jc w:val="center"/>
              <w:rPr>
                <w:rFonts w:hint="default" w:cs="Calibri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零点电流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38F45F9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空载时，待机状态下，检流电阻采集小电流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30228F0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4300" cy="123825"/>
                  <wp:effectExtent l="0" t="0" r="2540" b="13335"/>
                  <wp:docPr id="55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733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3E80C023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板卡运行功耗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23FD48B">
            <w:pPr>
              <w:autoSpaceDE w:val="0"/>
              <w:autoSpaceDN w:val="0"/>
              <w:jc w:val="center"/>
              <w:rPr>
                <w:rFonts w:hint="default" w:cs="Calibri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运行功耗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3997EAD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hint="eastAsia"/>
                <w:sz w:val="18"/>
                <w:szCs w:val="18"/>
                <w:lang w:val="en-US" w:eastAsia="zh-CN"/>
              </w:rPr>
              <w:t>BMS板运行时的功耗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A417367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3030" cy="116840"/>
                  <wp:effectExtent l="0" t="0" r="3810" b="5080"/>
                  <wp:docPr id="60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8A3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675638EE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诊断充放电流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9EFD383">
            <w:pPr>
              <w:autoSpaceDE w:val="0"/>
              <w:autoSpaceDN w:val="0"/>
              <w:jc w:val="center"/>
              <w:rPr>
                <w:rFonts w:hint="default" w:cs="Calibri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MCU采集的电流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372DB19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F09352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3030" cy="113030"/>
                  <wp:effectExtent l="0" t="0" r="3810" b="8890"/>
                  <wp:docPr id="77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1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2F3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18FE803E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开关导通线损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7B3503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开关压降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944895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BMS板的P+与B+之间的压降（MOS管之间的压降）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353F811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3665" cy="118745"/>
                  <wp:effectExtent l="0" t="0" r="3175" b="3175"/>
                  <wp:docPr id="6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1E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73617140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正极连接线损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46D9056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正极压降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BDB0848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电池正极与BMS板B+线束上的压降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C1E2B1E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4300" cy="102235"/>
                  <wp:effectExtent l="0" t="0" r="2540" b="4445"/>
                  <wp:docPr id="70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88E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6E7C7F65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组间连接线损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7F5EDA6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中间压降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4C7992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电池</w:t>
            </w: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第八节电芯的正极</w:t>
            </w: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和</w:t>
            </w:r>
            <w:r>
              <w:rPr>
                <w:rFonts w:hint="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第九节电芯负极</w:t>
            </w: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连接铜排之间的压降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0DE9C7F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3665" cy="118745"/>
                  <wp:effectExtent l="0" t="0" r="3175" b="3175"/>
                  <wp:docPr id="71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EA6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3BF081E3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负极链接线损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3F59758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负极压降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4F03609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电池负极与BMS板B-线束上的压降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CCA42AE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5570" cy="101600"/>
                  <wp:effectExtent l="0" t="0" r="1270" b="5080"/>
                  <wp:docPr id="72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63A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1B02FB0E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充电累计能量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813AF4B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充电能量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3DDB7C1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充电电流*充电电压*时间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D92CDC5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4300" cy="114300"/>
                  <wp:effectExtent l="0" t="0" r="2540" b="7620"/>
                  <wp:docPr id="78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BF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43DEB314">
            <w:pPr>
              <w:autoSpaceDE w:val="0"/>
              <w:autoSpaceDN w:val="0"/>
              <w:jc w:val="center"/>
              <w:rPr>
                <w:rFonts w:hint="default" w:cs="Calibri"/>
                <w:sz w:val="18"/>
                <w:szCs w:val="18"/>
                <w:lang w:val="en-US" w:eastAsia="zh-CN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放电累计能量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75C25F7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放电能量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2C4E9DC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放电电流*放电电压*时间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4DDB7DD">
            <w:pPr>
              <w:autoSpaceDE w:val="0"/>
              <w:autoSpaceDN w:val="0"/>
              <w:jc w:val="center"/>
            </w:pPr>
            <w:r>
              <w:drawing>
                <wp:inline distT="0" distB="0" distL="114300" distR="114300">
                  <wp:extent cx="1384300" cy="118110"/>
                  <wp:effectExtent l="0" t="0" r="2540" b="3810"/>
                  <wp:docPr id="79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D38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5B635463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放电开关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A540144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放电开关指示灯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789AA38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绿色：开关已连接</w:t>
            </w:r>
          </w:p>
          <w:p w14:paraId="62C95CA3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灰色：开关断开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F020F0C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720090" cy="276225"/>
                  <wp:effectExtent l="0" t="0" r="11430" b="13335"/>
                  <wp:docPr id="65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4AB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779670BD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充电开关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B86454D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充电开关指示灯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F2730CB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绿色：开关已连接</w:t>
            </w:r>
          </w:p>
          <w:p w14:paraId="17E838B2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灰色：开关断开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F87C27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720090" cy="251460"/>
                  <wp:effectExtent l="0" t="0" r="11430" b="7620"/>
                  <wp:docPr id="66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CB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740A1785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限流开关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E6ABA50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限流开关指示灯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5CC2EB3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绿色：开关已连接</w:t>
            </w:r>
          </w:p>
          <w:p w14:paraId="2B75C308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灰色：开关断开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E9C734B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720090" cy="226695"/>
                  <wp:effectExtent l="0" t="0" r="11430" b="1905"/>
                  <wp:docPr id="67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2C0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013EA21F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温度控制开关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3115F84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温度控制开关指示灯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7EF0019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绿色：开关已连接</w:t>
            </w:r>
          </w:p>
          <w:p w14:paraId="62A48E8C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灰色：开关断开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E27BAE6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720090" cy="204470"/>
                  <wp:effectExtent l="0" t="0" r="11430" b="8890"/>
                  <wp:docPr id="68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C37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3E26AB40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警告和保护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4B609DE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BMS警告和保护显示区域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E7D7512">
            <w:pPr>
              <w:autoSpaceDE w:val="0"/>
              <w:autoSpaceDN w:val="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A076C76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005840" cy="549910"/>
                  <wp:effectExtent l="0" t="0" r="0" b="13970"/>
                  <wp:docPr id="80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8A4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4D460A82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电池温度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BA92EB4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  <w:lang w:val="en-US" w:eastAsia="zh-CN"/>
              </w:rPr>
              <w:t>4个</w:t>
            </w:r>
            <w:r>
              <w:rPr>
                <w:rFonts w:hint="eastAsia" w:cs="Calibri"/>
                <w:sz w:val="18"/>
                <w:szCs w:val="18"/>
              </w:rPr>
              <w:t>电池温度值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20E6AE7">
            <w:pPr>
              <w:autoSpaceDE w:val="0"/>
              <w:autoSpaceDN w:val="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9308272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386205" cy="399415"/>
                  <wp:effectExtent l="0" t="0" r="635" b="12065"/>
                  <wp:docPr id="41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F54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6DAAB78B">
            <w:pPr>
              <w:autoSpaceDE w:val="0"/>
              <w:autoSpaceDN w:val="0"/>
              <w:jc w:val="center"/>
              <w:rPr>
                <w:rFonts w:hint="eastAsia"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环境温度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33E7A8B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环境温度值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92A343D">
            <w:pPr>
              <w:autoSpaceDE w:val="0"/>
              <w:autoSpaceDN w:val="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0876D3C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384935" cy="112395"/>
                  <wp:effectExtent l="0" t="0" r="1905" b="9525"/>
                  <wp:docPr id="82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019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/>
            <w:noWrap w:val="0"/>
            <w:vAlign w:val="center"/>
          </w:tcPr>
          <w:p w14:paraId="6A1F4A4F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功率温度</w:t>
            </w:r>
          </w:p>
        </w:tc>
        <w:tc>
          <w:tcPr>
            <w:tcW w:w="1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BBCC27">
            <w:pPr>
              <w:autoSpaceDE w:val="0"/>
              <w:autoSpaceDN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hint="eastAsia" w:cs="Calibri"/>
                <w:sz w:val="18"/>
                <w:szCs w:val="18"/>
              </w:rPr>
              <w:t>功率温度值</w:t>
            </w:r>
          </w:p>
        </w:tc>
        <w:tc>
          <w:tcPr>
            <w:tcW w:w="2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97EF4D">
            <w:pPr>
              <w:autoSpaceDE w:val="0"/>
              <w:autoSpaceDN w:val="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A7E971">
            <w:pPr>
              <w:autoSpaceDE w:val="0"/>
              <w:autoSpaceDN w:val="0"/>
              <w:jc w:val="center"/>
              <w:rPr>
                <w:rFonts w:ascii="宋体" w:hAnsi="宋体" w:cs="宋体"/>
                <w:szCs w:val="21"/>
              </w:rPr>
            </w:pPr>
            <w:r>
              <w:drawing>
                <wp:inline distT="0" distB="0" distL="114300" distR="114300">
                  <wp:extent cx="1384935" cy="97155"/>
                  <wp:effectExtent l="0" t="0" r="1905" b="9525"/>
                  <wp:docPr id="83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B3EF1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表11.1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624" w:footer="107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70DAFF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6E3A4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06E3A4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BF4E2">
    <w:pPr>
      <w:pStyle w:val="6"/>
      <w:pBdr>
        <w:bottom w:val="none" w:color="auto" w:sz="0" w:space="1"/>
      </w:pBdr>
      <w:bidi w:val="0"/>
      <w:rPr>
        <w:rFonts w:hint="eastAsia"/>
        <w:sz w:val="28"/>
        <w:szCs w:val="28"/>
        <w:lang w:val="en-US" w:eastAsia="zh-CN"/>
      </w:rPr>
    </w:pPr>
    <w:r>
      <w:rPr>
        <w:rFonts w:hint="eastAsia"/>
        <w:lang w:val="en-US"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24765</wp:posOffset>
          </wp:positionH>
          <wp:positionV relativeFrom="page">
            <wp:posOffset>388620</wp:posOffset>
          </wp:positionV>
          <wp:extent cx="539750" cy="497205"/>
          <wp:effectExtent l="0" t="0" r="8890" b="5715"/>
          <wp:wrapTopAndBottom/>
          <wp:docPr id="8" name="图片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750" cy="497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                                  </w:t>
    </w:r>
    <w:r>
      <w:rPr>
        <w:rFonts w:hint="eastAsia"/>
        <w:b/>
        <w:bCs/>
        <w:sz w:val="28"/>
        <w:szCs w:val="28"/>
        <w:lang w:val="en-US" w:eastAsia="zh-CN"/>
      </w:rPr>
      <w:t>上海恩阶电子科技有限公司</w:t>
    </w:r>
  </w:p>
  <w:p w14:paraId="5AB9C13A">
    <w:pPr>
      <w:pStyle w:val="6"/>
      <w:pBdr>
        <w:bottom w:val="thinThickMediumGap" w:color="000000" w:sz="18" w:space="1"/>
      </w:pBdr>
      <w:bidi w:val="0"/>
      <w:ind w:firstLine="2811" w:firstLineChars="1000"/>
      <w:rPr>
        <w:rFonts w:hint="default"/>
        <w:b/>
        <w:bCs/>
        <w:sz w:val="28"/>
        <w:szCs w:val="28"/>
        <w:lang w:val="en-US" w:eastAsia="zh-CN"/>
      </w:rPr>
    </w:pPr>
    <w:r>
      <w:rPr>
        <w:rFonts w:hint="eastAsia"/>
        <w:b/>
        <w:bCs/>
        <w:sz w:val="28"/>
        <w:szCs w:val="28"/>
        <w:lang w:val="en-US" w:eastAsia="zh-CN"/>
      </w:rPr>
      <w:t>Shanghai Energy Electronic Technology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A5CB64"/>
    <w:multiLevelType w:val="singleLevel"/>
    <w:tmpl w:val="8CA5CB64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8DF38103"/>
    <w:multiLevelType w:val="singleLevel"/>
    <w:tmpl w:val="8DF38103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D3464317"/>
    <w:multiLevelType w:val="singleLevel"/>
    <w:tmpl w:val="D3464317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140096C6"/>
    <w:multiLevelType w:val="singleLevel"/>
    <w:tmpl w:val="140096C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0E1BCB0"/>
    <w:multiLevelType w:val="singleLevel"/>
    <w:tmpl w:val="20E1BCB0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1ZDBlYmNjYzQ3YThlZTY4M2UxYmMyZjhkYTc4NjAifQ=="/>
  </w:docVars>
  <w:rsids>
    <w:rsidRoot w:val="73C95B18"/>
    <w:rsid w:val="007A4F68"/>
    <w:rsid w:val="05CB3B41"/>
    <w:rsid w:val="07F13FAE"/>
    <w:rsid w:val="1D0E7B01"/>
    <w:rsid w:val="1F4924CA"/>
    <w:rsid w:val="1F4D26D3"/>
    <w:rsid w:val="1F686CC6"/>
    <w:rsid w:val="1F9B0F28"/>
    <w:rsid w:val="231D5A4D"/>
    <w:rsid w:val="253504B3"/>
    <w:rsid w:val="256057F3"/>
    <w:rsid w:val="26836C2E"/>
    <w:rsid w:val="2A3A138D"/>
    <w:rsid w:val="330B63BD"/>
    <w:rsid w:val="36BE50F4"/>
    <w:rsid w:val="373D4D9C"/>
    <w:rsid w:val="40F05591"/>
    <w:rsid w:val="41F97050"/>
    <w:rsid w:val="48B467FD"/>
    <w:rsid w:val="5092043F"/>
    <w:rsid w:val="56464A92"/>
    <w:rsid w:val="569300CA"/>
    <w:rsid w:val="5A8913F1"/>
    <w:rsid w:val="5C6A0DAE"/>
    <w:rsid w:val="5D6972B8"/>
    <w:rsid w:val="5F056F7F"/>
    <w:rsid w:val="60FD7CB5"/>
    <w:rsid w:val="68FB1E75"/>
    <w:rsid w:val="6C630242"/>
    <w:rsid w:val="6DEE5CE3"/>
    <w:rsid w:val="73C95B18"/>
    <w:rsid w:val="78D02053"/>
    <w:rsid w:val="7CD64760"/>
    <w:rsid w:val="7E71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微软雅黑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微软雅黑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宋体"/>
      <w:b/>
      <w:sz w:val="30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Theme="minorAscii" w:hAnsiTheme="minorAscii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672</Words>
  <Characters>815</Characters>
  <Lines>0</Lines>
  <Paragraphs>0</Paragraphs>
  <TotalTime>0</TotalTime>
  <ScaleCrop>false</ScaleCrop>
  <LinksUpToDate>false</LinksUpToDate>
  <CharactersWithSpaces>819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2023-03-20T05:48:00Z</dcterms:created>
  <dc:creator>海伦陈伟霆</dc:creator>
  <cp:lastModifiedBy>楠南难</cp:lastModifiedBy>
  <dcterms:modified xsi:type="dcterms:W3CDTF">2026-01-22T07:57:08Z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B4E5EC7987094409ABFEC0994F69DD0B</vt:lpwstr>
  </property>
  <property fmtid="{D5CDD505-2E9C-101B-9397-08002B2CF9AE}" pid="4" name="KSOTemplateDocerSaveRecord">
    <vt:lpwstr>eyJoZGlkIjoiMzk1ZDBlYmNjYzQ3YThlZTY4M2UxYmMyZjhkYTc4NjAiLCJ1c2VySWQiOiI3Njg0NTc0MzYifQ==</vt:lpwstr>
  </property>
</Properties>
</file>